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B2" w:rsidRPr="00623787" w:rsidRDefault="00177BB2" w:rsidP="00177BB2">
      <w:pPr>
        <w:jc w:val="center"/>
        <w:rPr>
          <w:rFonts w:eastAsia="Times New Roman" w:cstheme="minorHAnsi"/>
          <w:b/>
          <w:sz w:val="28"/>
          <w:szCs w:val="28"/>
          <w:lang w:eastAsia="pl-PL"/>
        </w:rPr>
      </w:pPr>
      <w:r w:rsidRPr="00623787">
        <w:rPr>
          <w:rFonts w:eastAsia="Times New Roman" w:cstheme="minorHAnsi"/>
          <w:b/>
          <w:sz w:val="28"/>
          <w:szCs w:val="28"/>
          <w:lang w:eastAsia="pl-PL"/>
        </w:rPr>
        <w:t>REGULAMIN</w:t>
      </w:r>
    </w:p>
    <w:p w:rsidR="00177BB2" w:rsidRPr="00623787" w:rsidRDefault="00177BB2" w:rsidP="00623787">
      <w:pPr>
        <w:jc w:val="center"/>
        <w:rPr>
          <w:rFonts w:eastAsia="Times New Roman" w:cstheme="minorHAnsi"/>
          <w:b/>
          <w:sz w:val="24"/>
          <w:szCs w:val="24"/>
          <w:lang w:eastAsia="pl-PL"/>
        </w:rPr>
      </w:pPr>
      <w:r w:rsidRPr="00623787">
        <w:rPr>
          <w:rFonts w:eastAsia="Times New Roman" w:cstheme="minorHAnsi"/>
          <w:b/>
          <w:sz w:val="24"/>
          <w:szCs w:val="24"/>
          <w:lang w:eastAsia="pl-PL"/>
        </w:rPr>
        <w:t>w sprawie dokonywania rozliczeń za pobraną ciepłą i zimną wodę</w:t>
      </w:r>
      <w:r w:rsidR="00623787">
        <w:rPr>
          <w:rFonts w:eastAsia="Times New Roman" w:cstheme="minorHAnsi"/>
          <w:b/>
          <w:sz w:val="24"/>
          <w:szCs w:val="24"/>
          <w:lang w:eastAsia="pl-PL"/>
        </w:rPr>
        <w:t xml:space="preserve"> </w:t>
      </w:r>
      <w:r w:rsidRPr="00623787">
        <w:rPr>
          <w:rFonts w:eastAsia="Times New Roman" w:cstheme="minorHAnsi"/>
          <w:b/>
          <w:sz w:val="24"/>
          <w:szCs w:val="24"/>
          <w:lang w:eastAsia="pl-PL"/>
        </w:rPr>
        <w:t>dla celów gospodarstw domowych lokali mieszkalnych i użytkowych</w:t>
      </w:r>
      <w:r w:rsidR="00623787">
        <w:rPr>
          <w:rFonts w:eastAsia="Times New Roman" w:cstheme="minorHAnsi"/>
          <w:b/>
          <w:sz w:val="24"/>
          <w:szCs w:val="24"/>
          <w:lang w:eastAsia="pl-PL"/>
        </w:rPr>
        <w:t xml:space="preserve"> </w:t>
      </w:r>
      <w:r w:rsidRPr="00623787">
        <w:rPr>
          <w:rFonts w:eastAsia="Times New Roman" w:cstheme="minorHAnsi"/>
          <w:b/>
          <w:sz w:val="24"/>
          <w:szCs w:val="24"/>
          <w:lang w:eastAsia="pl-PL"/>
        </w:rPr>
        <w:t>oraz wody gospodarczej.</w:t>
      </w:r>
    </w:p>
    <w:p w:rsidR="00177BB2" w:rsidRPr="00623787" w:rsidRDefault="00177BB2" w:rsidP="00177BB2">
      <w:pPr>
        <w:rPr>
          <w:rFonts w:eastAsia="Times New Roman" w:cstheme="minorHAnsi"/>
          <w:sz w:val="24"/>
          <w:szCs w:val="24"/>
          <w:lang w:eastAsia="pl-PL"/>
        </w:rPr>
      </w:pPr>
    </w:p>
    <w:p w:rsidR="00177BB2" w:rsidRPr="00623787" w:rsidRDefault="00177BB2" w:rsidP="00177BB2">
      <w:pPr>
        <w:jc w:val="center"/>
        <w:rPr>
          <w:rFonts w:eastAsia="Times New Roman" w:cstheme="minorHAnsi"/>
          <w:sz w:val="24"/>
          <w:szCs w:val="24"/>
          <w:lang w:eastAsia="pl-PL"/>
        </w:rPr>
      </w:pPr>
      <w:r w:rsidRPr="00623787">
        <w:rPr>
          <w:rFonts w:eastAsia="Times New Roman" w:cstheme="minorHAnsi"/>
          <w:sz w:val="24"/>
          <w:szCs w:val="24"/>
          <w:lang w:eastAsia="pl-PL"/>
        </w:rPr>
        <w:t>§ 1.</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1. Woda do zasobów PSM jest dostarczana przez Saur Neptun Gdańsk.</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Rozliczenie za dostarczoną wodę  odbywa się na podstawie faktur wystawionych przez SNG w oparciu o wskazanie wodomierzy głównych zainstalowanych w poszczególnych budynkach oraz w Stacji Cieplnej przy ul.Bądkowskiego 1 dla wody dostarczanej po podgrzaniu jako c.w.u. do mieszkań Spółdzielni przy ul.Bądkowskiego, ul.Goszczyńskiego oraz ul.Starodworskiej.</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3. Rozliczenie indywidualne wody dla poszczególnych lokali mieszkalnych i użytkowych  prowadzone jest w systemie opomiarowanym.</w:t>
      </w:r>
    </w:p>
    <w:p w:rsidR="00177BB2" w:rsidRPr="00623787" w:rsidRDefault="00177BB2" w:rsidP="00177BB2">
      <w:pPr>
        <w:jc w:val="center"/>
        <w:rPr>
          <w:rFonts w:eastAsia="Times New Roman" w:cstheme="minorHAnsi"/>
          <w:sz w:val="24"/>
          <w:szCs w:val="24"/>
          <w:lang w:eastAsia="pl-PL"/>
        </w:rPr>
      </w:pPr>
      <w:r w:rsidRPr="00623787">
        <w:rPr>
          <w:rFonts w:eastAsia="Times New Roman" w:cstheme="minorHAnsi"/>
          <w:sz w:val="24"/>
          <w:szCs w:val="24"/>
          <w:lang w:eastAsia="pl-PL"/>
        </w:rPr>
        <w:t>§ 2.</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1. Cenę  wody dostarczonej do mieszkań przez SNG oraz odprowadzanych ścieków określa Rada Miasta Gdańska.</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Opłaty za wodę jako surowiec określone są w oparciu o wskazania indywidualnych wodomierzy.</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3. Opłaty za wodę mieszkańcy wnoszą z góry w formie przedpłat określonych indywidualnie dla każdego mieszkania na podstawie zużycia wody przez poprzedni okres rozliczeniowy (suma zużytych m</w:t>
      </w:r>
      <w:r w:rsidRPr="00623787">
        <w:rPr>
          <w:rFonts w:eastAsia="Times New Roman" w:cstheme="minorHAnsi"/>
          <w:sz w:val="24"/>
          <w:szCs w:val="24"/>
          <w:vertAlign w:val="superscript"/>
          <w:lang w:eastAsia="pl-PL"/>
        </w:rPr>
        <w:t>3</w:t>
      </w:r>
      <w:r w:rsidRPr="00623787">
        <w:rPr>
          <w:rFonts w:eastAsia="Times New Roman" w:cstheme="minorHAnsi"/>
          <w:sz w:val="24"/>
          <w:szCs w:val="24"/>
          <w:lang w:eastAsia="pl-PL"/>
        </w:rPr>
        <w:t xml:space="preserve"> wody wg wskazań wodomierzy zimnej i ciepłej wody, podzielona przez liczbę miesięcy i pomnożona przez cenę 1m</w:t>
      </w:r>
      <w:r w:rsidRPr="00623787">
        <w:rPr>
          <w:rFonts w:eastAsia="Times New Roman" w:cstheme="minorHAnsi"/>
          <w:sz w:val="24"/>
          <w:szCs w:val="24"/>
          <w:vertAlign w:val="superscript"/>
          <w:lang w:eastAsia="pl-PL"/>
        </w:rPr>
        <w:t>3</w:t>
      </w:r>
      <w:r w:rsidRPr="00623787">
        <w:rPr>
          <w:rFonts w:eastAsia="Times New Roman" w:cstheme="minorHAnsi"/>
          <w:sz w:val="24"/>
          <w:szCs w:val="24"/>
          <w:lang w:eastAsia="pl-PL"/>
        </w:rPr>
        <w:t xml:space="preserve"> wody i odprowadzenia ścieków określoną przez Radę Miasta Gdańska).</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4. Po okresie rozliczeniowym oraz przed każdym wprowadzeniem nowych cen zimnej wody lub zmiany ceny podgrzania wody, Spółdzielnia dokona rozliczenia przedpłat za wodę i podgrzanie wody na podstawie wskazań wodomierzy oraz określi nowe przedpłaty na następny okres, które zostaną dostarczone do lokali w formie wydruku opłat czynszowych wraz z rozliczeniem należności za poprzedni okres.</w:t>
      </w:r>
    </w:p>
    <w:p w:rsidR="00177BB2" w:rsidRPr="00623787" w:rsidRDefault="00177BB2" w:rsidP="00177BB2">
      <w:pPr>
        <w:jc w:val="center"/>
        <w:rPr>
          <w:rFonts w:eastAsia="Times New Roman" w:cstheme="minorHAnsi"/>
          <w:sz w:val="24"/>
          <w:szCs w:val="24"/>
          <w:lang w:eastAsia="pl-PL"/>
        </w:rPr>
      </w:pPr>
      <w:r w:rsidRPr="00623787">
        <w:rPr>
          <w:rFonts w:eastAsia="Times New Roman" w:cstheme="minorHAnsi"/>
          <w:sz w:val="24"/>
          <w:szCs w:val="24"/>
          <w:lang w:eastAsia="pl-PL"/>
        </w:rPr>
        <w:t>§ 3.</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1. Koszt podgrzania 1m</w:t>
      </w:r>
      <w:r w:rsidRPr="00623787">
        <w:rPr>
          <w:rFonts w:eastAsia="Times New Roman" w:cstheme="minorHAnsi"/>
          <w:sz w:val="24"/>
          <w:szCs w:val="24"/>
          <w:vertAlign w:val="superscript"/>
          <w:lang w:eastAsia="pl-PL"/>
        </w:rPr>
        <w:t>3</w:t>
      </w:r>
      <w:r w:rsidRPr="00623787">
        <w:rPr>
          <w:rFonts w:eastAsia="Times New Roman" w:cstheme="minorHAnsi"/>
          <w:sz w:val="24"/>
          <w:szCs w:val="24"/>
          <w:lang w:eastAsia="pl-PL"/>
        </w:rPr>
        <w:t xml:space="preserve"> wody określa się na podstawie faktur GPEC za pogrzanie wody oraz ilości zużytej ciepłej wody wg wskazań indywidualnych wodomierzy ciepłej wody.</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W warunkach PSM ustala się zróżnicowaną cenę pogrzania wody dla osiedla przy ul.Bądkowskiego, ul.Goszczyńskiego 2÷8 i ul.Starodworskiej dostarczanej ze stacji grupowej Bądkowskiego 1, Goszczyńskiego 20,22,24,26,28,30 oraz budynku Kartuska 119. W budynku Kartuska 149 ciepła woda wytwarzana jest w indywidualnych podgrzewaczach wody.</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3. Koszt podgrzania 1m</w:t>
      </w:r>
      <w:r w:rsidRPr="00623787">
        <w:rPr>
          <w:rFonts w:eastAsia="Times New Roman" w:cstheme="minorHAnsi"/>
          <w:sz w:val="24"/>
          <w:szCs w:val="24"/>
          <w:vertAlign w:val="superscript"/>
          <w:lang w:eastAsia="pl-PL"/>
        </w:rPr>
        <w:t>3</w:t>
      </w:r>
      <w:r w:rsidRPr="00623787">
        <w:rPr>
          <w:rFonts w:eastAsia="Times New Roman" w:cstheme="minorHAnsi"/>
          <w:sz w:val="24"/>
          <w:szCs w:val="24"/>
          <w:lang w:eastAsia="pl-PL"/>
        </w:rPr>
        <w:t xml:space="preserve"> wody w budynkach przy ul.Przyokopowej i Jałmużniczej określony jest w zależności od kosztów zużycia gazu w tych budynkach na podgrzanie wody w okresie niegrzewczym.</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4. Przedpłaty za podgrzanie wody w opłatach naliczane są indywidualnie dla każdego lokalu wg średniego miesięcznego zużycia ciepłej wody w danym mieszkaniu lub lokalu użytkowym w poprzednim okresie rozliczeniowym i kosztu podgrzania 1m</w:t>
      </w:r>
      <w:r w:rsidRPr="00623787">
        <w:rPr>
          <w:rFonts w:eastAsia="Times New Roman" w:cstheme="minorHAnsi"/>
          <w:sz w:val="24"/>
          <w:szCs w:val="24"/>
          <w:vertAlign w:val="superscript"/>
          <w:lang w:eastAsia="pl-PL"/>
        </w:rPr>
        <w:t>3</w:t>
      </w:r>
      <w:r w:rsidRPr="00623787">
        <w:rPr>
          <w:rFonts w:eastAsia="Times New Roman" w:cstheme="minorHAnsi"/>
          <w:sz w:val="24"/>
          <w:szCs w:val="24"/>
          <w:lang w:eastAsia="pl-PL"/>
        </w:rPr>
        <w:t xml:space="preserve"> wody wynikającego z faktur GPEC-u lub faktur za gaz.</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5. Po okresie rozliczeniowym lub przed wprowadzeniem nowych cen ciepła na podstawie wykonanego odczytu wodomierzy, Spółdzielnia dokona rozliczenia należności za podgrzanie wody i określi przedpłatę na następny okres, dostarczoną w formie wydruku opłat wraz z załączonym rozliczeniem za zużycie i podgrzanie wody.</w:t>
      </w:r>
    </w:p>
    <w:p w:rsidR="00177BB2" w:rsidRPr="00623787" w:rsidRDefault="00177BB2" w:rsidP="00177BB2">
      <w:pPr>
        <w:jc w:val="center"/>
        <w:rPr>
          <w:rFonts w:eastAsia="Times New Roman" w:cstheme="minorHAnsi"/>
          <w:sz w:val="24"/>
          <w:szCs w:val="24"/>
          <w:lang w:eastAsia="pl-PL"/>
        </w:rPr>
      </w:pPr>
      <w:r w:rsidRPr="00623787">
        <w:rPr>
          <w:rFonts w:eastAsia="Times New Roman" w:cstheme="minorHAnsi"/>
          <w:sz w:val="24"/>
          <w:szCs w:val="24"/>
          <w:lang w:eastAsia="pl-PL"/>
        </w:rPr>
        <w:t>§ 4.</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 xml:space="preserve">1. Różnicę opłat za zużycie wody wynikającą z odczytów wodomierzy indywidualnych i wodomierzy głównych w poszczególnych klatkach lub budynkach pokrywają mieszkańcy danej klatki lub budynku w wysokości określonej na mieszkanie jako wyrównanie opłat za zużytą wodę. Wysokość opłat </w:t>
      </w:r>
      <w:r w:rsidRPr="00623787">
        <w:rPr>
          <w:rFonts w:eastAsia="Times New Roman" w:cstheme="minorHAnsi"/>
          <w:sz w:val="24"/>
          <w:szCs w:val="24"/>
          <w:lang w:eastAsia="pl-PL"/>
        </w:rPr>
        <w:lastRenderedPageBreak/>
        <w:t>wyrównawczych na każdy okres rozliczeniowy określa Spółdzielnia na podstawie dokonanych rozliczeń indywidualnych i faktur wystawionych przez SNG wg wskazań wodomierza głównego.</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Należności wynikające z różnic pomiędzy sumą wskazań wodomierzy indywidualnych i wskazań wodomierza głównego będą rozliczane w danym okresie rozliczeniowym.</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3. Należność za wodę gospodarczą (zużytą do celów sprzątania, remontów i podlewania zieleni) obciąża koszty eksploatacji.</w:t>
      </w:r>
    </w:p>
    <w:p w:rsidR="00177BB2" w:rsidRPr="00623787" w:rsidRDefault="00177BB2" w:rsidP="00177BB2">
      <w:pPr>
        <w:jc w:val="center"/>
        <w:rPr>
          <w:rFonts w:eastAsia="Times New Roman" w:cstheme="minorHAnsi"/>
          <w:strike/>
          <w:sz w:val="24"/>
          <w:szCs w:val="24"/>
          <w:lang w:eastAsia="pl-PL"/>
        </w:rPr>
      </w:pPr>
      <w:r w:rsidRPr="00623787">
        <w:rPr>
          <w:rFonts w:eastAsia="Times New Roman" w:cstheme="minorHAnsi"/>
          <w:sz w:val="24"/>
          <w:szCs w:val="24"/>
          <w:lang w:eastAsia="pl-PL"/>
        </w:rPr>
        <w:t>§ 5.</w:t>
      </w:r>
      <w:r w:rsidR="00595381" w:rsidRPr="00623787">
        <w:rPr>
          <w:rFonts w:eastAsia="Times New Roman" w:cstheme="minorHAnsi"/>
          <w:sz w:val="24"/>
          <w:szCs w:val="24"/>
          <w:lang w:eastAsia="pl-PL"/>
        </w:rPr>
        <w:t xml:space="preserve"> </w:t>
      </w:r>
    </w:p>
    <w:p w:rsidR="00177BB2" w:rsidRPr="00623787" w:rsidRDefault="00177BB2" w:rsidP="00177BB2">
      <w:pPr>
        <w:rPr>
          <w:rFonts w:eastAsia="Times New Roman" w:cstheme="minorHAnsi"/>
          <w:sz w:val="24"/>
          <w:szCs w:val="24"/>
          <w:lang w:eastAsia="pl-PL"/>
        </w:rPr>
      </w:pPr>
      <w:r w:rsidRPr="00623787">
        <w:rPr>
          <w:rFonts w:eastAsia="Times New Roman" w:cstheme="minorHAnsi"/>
          <w:sz w:val="24"/>
          <w:szCs w:val="24"/>
          <w:lang w:eastAsia="pl-PL"/>
        </w:rPr>
        <w:t xml:space="preserve">1. Odczyty wodomierzy w systemie radiowym dokonywane będą dwa razy w roku wg stanu na dzień 31.05 oraz 31.12 każdego roku. W budynkach bez odczytów radiowych tj.na osiedlu Południowy Stok (Goszczyńskiego 20,22,24,26,28,30) odczyty będą dokonywane w tym samym okresie przez pracowników Spółdzielni </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Spółdzielnia poprzez swoich pracowników lub upoważnionych przedstawicieli może dokonywać okresowej kontroli odczytów wskazań wodomierzy.</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3. W przypadku stwierdzenia zerwania plomby, oddziaływania na wskazania wodomierza, naliczona zostanie na mieszkanie ryczałtowa opłata za zużycie wody w ilości podwójnego ryczałtu, określonego w § 2 p.3 dla ciepłej i zimnej wody za każdy miesiąc użytkowania licznika od poprzedniego odczytu stanu liczników</w:t>
      </w:r>
      <w:r w:rsidR="00595381" w:rsidRPr="00623787">
        <w:rPr>
          <w:rFonts w:eastAsia="Times New Roman" w:cstheme="minorHAnsi"/>
          <w:sz w:val="24"/>
          <w:szCs w:val="24"/>
          <w:lang w:eastAsia="pl-PL"/>
        </w:rPr>
        <w:t>.</w:t>
      </w:r>
      <w:r w:rsidR="00CE3B8E" w:rsidRPr="00623787">
        <w:rPr>
          <w:rFonts w:eastAsia="Times New Roman" w:cstheme="minorHAnsi"/>
          <w:sz w:val="24"/>
          <w:szCs w:val="24"/>
          <w:lang w:eastAsia="pl-PL"/>
        </w:rPr>
        <w:t xml:space="preserve"> oraz określi dodatkową opłatę w wysokości 20zł za każdy rozliczany miesiąc na mieszkanie.</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4. W razie przypadkowego zerwania plomby lub stwierdzenia awarii wodomierza, bez winy użytkownika, fakt ten powinien być niezwłocznie zgłoszony do Spółdzielni. W takim</w:t>
      </w:r>
      <w:r w:rsidRPr="00623787">
        <w:rPr>
          <w:rFonts w:eastAsia="Times New Roman" w:cstheme="minorHAnsi"/>
          <w:b/>
          <w:sz w:val="24"/>
          <w:szCs w:val="24"/>
          <w:lang w:eastAsia="pl-PL"/>
        </w:rPr>
        <w:t xml:space="preserve"> </w:t>
      </w:r>
      <w:r w:rsidRPr="00623787">
        <w:rPr>
          <w:rFonts w:eastAsia="Times New Roman" w:cstheme="minorHAnsi"/>
          <w:sz w:val="24"/>
          <w:szCs w:val="24"/>
          <w:lang w:eastAsia="pl-PL"/>
        </w:rPr>
        <w:t>przypadku należność za wodę zostanie określona wg średniego zużycia wody w poprzednich okresach rozliczeniowych lub analogicznym okresie poprzedniego roku lub naliczonego ryczałtu na mieszkanie powiększonego o 20%.</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5. Ponowne zaplombowanie licznika wody jest odpłatne i wynosi 4zł od każdej plomby.</w:t>
      </w:r>
    </w:p>
    <w:p w:rsidR="00177BB2" w:rsidRPr="00623787" w:rsidRDefault="00177BB2" w:rsidP="00177BB2">
      <w:pPr>
        <w:jc w:val="center"/>
        <w:rPr>
          <w:rFonts w:eastAsia="Times New Roman" w:cstheme="minorHAnsi"/>
          <w:sz w:val="24"/>
          <w:szCs w:val="24"/>
          <w:lang w:eastAsia="pl-PL"/>
        </w:rPr>
      </w:pPr>
    </w:p>
    <w:p w:rsidR="00177BB2" w:rsidRPr="00623787" w:rsidRDefault="00595381" w:rsidP="00177BB2">
      <w:pPr>
        <w:jc w:val="center"/>
        <w:rPr>
          <w:rFonts w:eastAsia="Times New Roman" w:cstheme="minorHAnsi"/>
          <w:sz w:val="24"/>
          <w:szCs w:val="24"/>
          <w:lang w:eastAsia="pl-PL"/>
        </w:rPr>
      </w:pPr>
      <w:r w:rsidRPr="00623787">
        <w:rPr>
          <w:rFonts w:eastAsia="Times New Roman" w:cstheme="minorHAnsi"/>
          <w:sz w:val="24"/>
          <w:szCs w:val="24"/>
          <w:lang w:eastAsia="pl-PL"/>
        </w:rPr>
        <w:t>§</w:t>
      </w:r>
      <w:r w:rsidR="00177BB2" w:rsidRPr="00623787">
        <w:rPr>
          <w:rFonts w:eastAsia="Times New Roman" w:cstheme="minorHAnsi"/>
          <w:sz w:val="24"/>
          <w:szCs w:val="24"/>
          <w:lang w:eastAsia="pl-PL"/>
        </w:rPr>
        <w:t xml:space="preserve"> 6.</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W przypadkach uzasadnionych (np.dłuższą nieobecnością zamieszkujących osób) istnieje możliwość indywidualnego obniżenia lub podwyższenia przedpłaty do wysokości prognozowanej dla zaistniałej sytuacji.</w:t>
      </w:r>
    </w:p>
    <w:p w:rsidR="00177BB2" w:rsidRPr="00623787" w:rsidRDefault="00177BB2" w:rsidP="00177BB2">
      <w:pPr>
        <w:jc w:val="center"/>
        <w:rPr>
          <w:rFonts w:eastAsia="Times New Roman" w:cstheme="minorHAnsi"/>
          <w:sz w:val="24"/>
          <w:szCs w:val="24"/>
          <w:lang w:eastAsia="pl-PL"/>
        </w:rPr>
      </w:pPr>
      <w:r w:rsidRPr="00623787">
        <w:rPr>
          <w:rFonts w:eastAsia="Times New Roman" w:cstheme="minorHAnsi"/>
          <w:sz w:val="24"/>
          <w:szCs w:val="24"/>
          <w:lang w:eastAsia="pl-PL"/>
        </w:rPr>
        <w:t>§ 7.</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1. Odpowiedzialność za stan wodomierzy i ich okresową legalizację ponosi członek Spółdzielni – właściciel wodomierzy i użytkownik mieszkania.</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Zabrania się pod odpowiedzialnością karną dokonywania oddziaływania na wodomierz w celu zafałszowania jego wskazań.</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3. W przypadku stwierdzenia oddziaływania na wodomierz w celu zafałszowania jego wskazań naliczona zostanie opłata określona w § 5  p.3.</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4. Właściciel mieszkania jest odpowiedzialny za posługiwanie się wodomierzami posiadającymi ważną cechę legalizacyjną zgodną z odpowiednimi przepisami.</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5. Spółdzielnia w ramach nadzoru nad stosowaniem legalizowanych wodomierzy dokonywać będzie wymiany wodomierzy po okresie utraty przez nie ważności cechy legalizacyjnej. Koszty zakupu wodomierzy, uszczelek oraz plomby pokrywają właściciel mieszkań, natomiast koszty wymiany wodomierzy pokrywane będą z funduszu remontowego.</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6. Właściciel mieszkania lub lokalu użytkowego odpowiada za umożliwienie dostępu do wodomierzy w celu ich odczytu oraz wymiany.</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Spółdzielnia nie ponosi odpowiedzialności za zniszczenia wynikające z konieczności powiększenia otworu rewizji w celu wymiany wodomierzy. Właściciel mieszkania będzie dodatkowo obciążony kosztami powiększenia otworu rewizji w celu wymiany wodomierzy.</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lastRenderedPageBreak/>
        <w:t>7. W przypadku uniemożliwienia wymiany wodomierza w wyznaczonym terminie właściciel mieszkania obciążony zostanie opłatą za wodę w wysokości powiększonej o 50% w odniesieniu do wskazań wodomierza bez ważnej cechy legalizacyjnej w pierwszym okresie rozliczeniowym następującym po terminie utraty cechy legalizacyjnej oraz 100% powiększenia w następnym okresie rozliczeniowym. Po dwóch okresach rozliczeniowych następujących po utracie ważnej cechy legalizacyjnej naliczany będzie ryczałt zużycia wody wynoszący 200% wody zimnej i 200% wody ciepłej za każdy miesiąc w odniesieniu do ostatniego odczytu rzeczywistego wodomierzy i ryczałtów określonych w § 2 p.3.</w:t>
      </w:r>
    </w:p>
    <w:p w:rsidR="00177BB2" w:rsidRPr="00623787" w:rsidRDefault="00177BB2" w:rsidP="00177BB2">
      <w:pPr>
        <w:jc w:val="center"/>
        <w:rPr>
          <w:rFonts w:eastAsia="Times New Roman" w:cstheme="minorHAnsi"/>
          <w:sz w:val="24"/>
          <w:szCs w:val="24"/>
          <w:lang w:eastAsia="pl-PL"/>
        </w:rPr>
      </w:pPr>
      <w:r w:rsidRPr="00623787">
        <w:rPr>
          <w:rFonts w:eastAsia="Times New Roman" w:cstheme="minorHAnsi"/>
          <w:sz w:val="24"/>
          <w:szCs w:val="24"/>
          <w:lang w:eastAsia="pl-PL"/>
        </w:rPr>
        <w:t>§ 8.</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1. Na wniosek mieszkańców lub z własnej inicjatywy Zarząd PSM w oparciu o uchwałę Rady Nadzorczej może wystąpić do Saur Neptun Gdańsk z wnioskiem o zawarcie przez SNG indywidualnych umów na dostawę wody i odprowadzenie ścieków w danej nieruchomości.</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2. Warunkiem podpisania indywidualnych umów jest rozliczanie różnic wskazań między wodomierzem głównym, a sumą wskazań wodomierzy zainstalowanych w mieszkaniach i innych punktach czerpalnych w budynku przez Spółdzielnię oraz spełnienie innych warunków określonych w ustawie.</w:t>
      </w:r>
    </w:p>
    <w:p w:rsidR="00177BB2" w:rsidRPr="00623787" w:rsidRDefault="00177BB2" w:rsidP="00177BB2">
      <w:pPr>
        <w:jc w:val="center"/>
        <w:rPr>
          <w:rFonts w:eastAsia="Times New Roman" w:cstheme="minorHAnsi"/>
          <w:b/>
          <w:sz w:val="24"/>
          <w:szCs w:val="24"/>
          <w:lang w:eastAsia="pl-PL"/>
        </w:rPr>
      </w:pPr>
    </w:p>
    <w:p w:rsidR="00177BB2" w:rsidRPr="00623787" w:rsidRDefault="00595381" w:rsidP="00177BB2">
      <w:pPr>
        <w:jc w:val="center"/>
        <w:rPr>
          <w:rFonts w:eastAsia="Times New Roman" w:cstheme="minorHAnsi"/>
          <w:sz w:val="24"/>
          <w:szCs w:val="24"/>
          <w:lang w:eastAsia="pl-PL"/>
        </w:rPr>
      </w:pPr>
      <w:r w:rsidRPr="00623787">
        <w:rPr>
          <w:rFonts w:eastAsia="Times New Roman" w:cstheme="minorHAnsi"/>
          <w:sz w:val="24"/>
          <w:szCs w:val="24"/>
          <w:lang w:eastAsia="pl-PL"/>
        </w:rPr>
        <w:t>§</w:t>
      </w:r>
      <w:r w:rsidR="00177BB2" w:rsidRPr="00623787">
        <w:rPr>
          <w:rFonts w:eastAsia="Times New Roman" w:cstheme="minorHAnsi"/>
          <w:sz w:val="24"/>
          <w:szCs w:val="24"/>
          <w:lang w:eastAsia="pl-PL"/>
        </w:rPr>
        <w:t xml:space="preserve"> 9.</w:t>
      </w:r>
    </w:p>
    <w:p w:rsidR="00177BB2" w:rsidRPr="00623787" w:rsidRDefault="00177BB2" w:rsidP="00177BB2">
      <w:pPr>
        <w:jc w:val="both"/>
        <w:rPr>
          <w:rFonts w:eastAsia="Times New Roman" w:cstheme="minorHAnsi"/>
          <w:sz w:val="24"/>
          <w:szCs w:val="24"/>
          <w:lang w:eastAsia="pl-PL"/>
        </w:rPr>
      </w:pPr>
      <w:r w:rsidRPr="00623787">
        <w:rPr>
          <w:rFonts w:eastAsia="Times New Roman" w:cstheme="minorHAnsi"/>
          <w:sz w:val="24"/>
          <w:szCs w:val="24"/>
          <w:lang w:eastAsia="pl-PL"/>
        </w:rPr>
        <w:t>Regulamin wchodz</w:t>
      </w:r>
      <w:r w:rsidR="00595381" w:rsidRPr="00623787">
        <w:rPr>
          <w:rFonts w:eastAsia="Times New Roman" w:cstheme="minorHAnsi"/>
          <w:sz w:val="24"/>
          <w:szCs w:val="24"/>
          <w:lang w:eastAsia="pl-PL"/>
        </w:rPr>
        <w:t>i w życie z dniem 01.01.2018</w:t>
      </w:r>
      <w:r w:rsidRPr="00623787">
        <w:rPr>
          <w:rFonts w:eastAsia="Times New Roman" w:cstheme="minorHAnsi"/>
          <w:sz w:val="24"/>
          <w:szCs w:val="24"/>
          <w:lang w:eastAsia="pl-PL"/>
        </w:rPr>
        <w:t>r.</w:t>
      </w:r>
    </w:p>
    <w:p w:rsidR="00177BB2" w:rsidRPr="00623787" w:rsidRDefault="00177BB2" w:rsidP="00177BB2">
      <w:pPr>
        <w:rPr>
          <w:rFonts w:eastAsia="Times New Roman" w:cstheme="minorHAnsi"/>
          <w:sz w:val="24"/>
          <w:szCs w:val="24"/>
          <w:lang w:eastAsia="pl-PL"/>
        </w:rPr>
      </w:pPr>
    </w:p>
    <w:p w:rsidR="00177BB2" w:rsidRPr="00623787" w:rsidRDefault="00177BB2" w:rsidP="00177BB2">
      <w:pPr>
        <w:rPr>
          <w:rFonts w:eastAsia="Times New Roman" w:cstheme="minorHAnsi"/>
          <w:sz w:val="24"/>
          <w:szCs w:val="24"/>
          <w:lang w:eastAsia="pl-PL"/>
        </w:rPr>
      </w:pPr>
    </w:p>
    <w:p w:rsidR="00177BB2" w:rsidRPr="00623787" w:rsidRDefault="00177BB2" w:rsidP="00177BB2">
      <w:pPr>
        <w:rPr>
          <w:rFonts w:eastAsia="Times New Roman" w:cstheme="minorHAnsi"/>
          <w:sz w:val="24"/>
          <w:szCs w:val="24"/>
          <w:lang w:eastAsia="pl-PL"/>
        </w:rPr>
      </w:pPr>
      <w:r w:rsidRPr="00623787">
        <w:rPr>
          <w:rFonts w:eastAsia="Times New Roman" w:cstheme="minorHAnsi"/>
          <w:sz w:val="24"/>
          <w:szCs w:val="24"/>
          <w:lang w:eastAsia="pl-PL"/>
        </w:rPr>
        <w:tab/>
      </w:r>
    </w:p>
    <w:p w:rsidR="00177BB2" w:rsidRPr="00623787" w:rsidRDefault="00177BB2" w:rsidP="00177BB2">
      <w:pPr>
        <w:spacing w:line="360" w:lineRule="auto"/>
        <w:rPr>
          <w:rFonts w:eastAsia="Times New Roman" w:cstheme="minorHAnsi"/>
          <w:i/>
          <w:sz w:val="24"/>
          <w:szCs w:val="24"/>
          <w:lang w:eastAsia="pl-PL"/>
        </w:rPr>
      </w:pPr>
      <w:r w:rsidRPr="00623787">
        <w:rPr>
          <w:rFonts w:eastAsia="Times New Roman" w:cstheme="minorHAnsi"/>
          <w:i/>
          <w:sz w:val="24"/>
          <w:szCs w:val="24"/>
          <w:lang w:eastAsia="pl-PL"/>
        </w:rPr>
        <w:tab/>
      </w:r>
      <w:r w:rsidRPr="00623787">
        <w:rPr>
          <w:rFonts w:eastAsia="Times New Roman" w:cstheme="minorHAnsi"/>
          <w:i/>
          <w:sz w:val="24"/>
          <w:szCs w:val="24"/>
          <w:lang w:eastAsia="pl-PL"/>
        </w:rPr>
        <w:tab/>
      </w:r>
      <w:r w:rsidRPr="00623787">
        <w:rPr>
          <w:rFonts w:eastAsia="Times New Roman" w:cstheme="minorHAnsi"/>
          <w:i/>
          <w:sz w:val="24"/>
          <w:szCs w:val="24"/>
          <w:lang w:eastAsia="pl-PL"/>
        </w:rPr>
        <w:tab/>
      </w:r>
      <w:r w:rsidRPr="00623787">
        <w:rPr>
          <w:rFonts w:eastAsia="Times New Roman" w:cstheme="minorHAnsi"/>
          <w:i/>
          <w:sz w:val="24"/>
          <w:szCs w:val="24"/>
          <w:lang w:eastAsia="pl-PL"/>
        </w:rPr>
        <w:tab/>
      </w:r>
      <w:r w:rsidRPr="00623787">
        <w:rPr>
          <w:rFonts w:eastAsia="Times New Roman" w:cstheme="minorHAnsi"/>
          <w:i/>
          <w:sz w:val="24"/>
          <w:szCs w:val="24"/>
          <w:lang w:eastAsia="pl-PL"/>
        </w:rPr>
        <w:tab/>
      </w:r>
      <w:r w:rsidRPr="00623787">
        <w:rPr>
          <w:rFonts w:eastAsia="Times New Roman" w:cstheme="minorHAnsi"/>
          <w:i/>
          <w:sz w:val="24"/>
          <w:szCs w:val="24"/>
          <w:lang w:eastAsia="pl-PL"/>
        </w:rPr>
        <w:tab/>
      </w:r>
      <w:r w:rsidRPr="00623787">
        <w:rPr>
          <w:rFonts w:eastAsia="Times New Roman" w:cstheme="minorHAnsi"/>
          <w:i/>
          <w:sz w:val="24"/>
          <w:szCs w:val="24"/>
          <w:lang w:eastAsia="pl-PL"/>
        </w:rPr>
        <w:tab/>
        <w:t xml:space="preserve">                 Zatwierdzono Uchwałą Rady Nadzorczej </w:t>
      </w:r>
    </w:p>
    <w:p w:rsidR="00177BB2" w:rsidRPr="00623787" w:rsidRDefault="007D5EA6" w:rsidP="00177BB2">
      <w:pPr>
        <w:spacing w:line="360" w:lineRule="auto"/>
        <w:ind w:left="4956" w:firstLine="708"/>
        <w:rPr>
          <w:rFonts w:eastAsia="Times New Roman" w:cstheme="minorHAnsi"/>
          <w:i/>
          <w:sz w:val="24"/>
          <w:szCs w:val="24"/>
          <w:lang w:eastAsia="pl-PL"/>
        </w:rPr>
      </w:pPr>
      <w:r>
        <w:rPr>
          <w:rFonts w:eastAsia="Times New Roman" w:cstheme="minorHAnsi"/>
          <w:i/>
          <w:sz w:val="24"/>
          <w:szCs w:val="24"/>
          <w:lang w:eastAsia="pl-PL"/>
        </w:rPr>
        <w:t xml:space="preserve">      Nr 46</w:t>
      </w:r>
      <w:bookmarkStart w:id="0" w:name="_GoBack"/>
      <w:bookmarkEnd w:id="0"/>
      <w:r w:rsidR="00177BB2" w:rsidRPr="00623787">
        <w:rPr>
          <w:rFonts w:eastAsia="Times New Roman" w:cstheme="minorHAnsi"/>
          <w:i/>
          <w:sz w:val="24"/>
          <w:szCs w:val="24"/>
          <w:lang w:eastAsia="pl-PL"/>
        </w:rPr>
        <w:t xml:space="preserve">/XK/2017  z dnia </w:t>
      </w:r>
      <w:r w:rsidR="00595381" w:rsidRPr="00623787">
        <w:rPr>
          <w:rFonts w:eastAsia="Times New Roman" w:cstheme="minorHAnsi"/>
          <w:i/>
          <w:sz w:val="24"/>
          <w:szCs w:val="24"/>
          <w:lang w:eastAsia="pl-PL"/>
        </w:rPr>
        <w:t>28.09.2017r.</w:t>
      </w:r>
    </w:p>
    <w:p w:rsidR="00AC5E91" w:rsidRPr="00623787" w:rsidRDefault="00177BB2">
      <w:pPr>
        <w:rPr>
          <w:rFonts w:eastAsia="Times New Roman" w:cstheme="minorHAnsi"/>
          <w:i/>
          <w:sz w:val="24"/>
          <w:szCs w:val="24"/>
          <w:lang w:eastAsia="pl-PL"/>
        </w:rPr>
      </w:pPr>
      <w:r w:rsidRPr="00623787">
        <w:rPr>
          <w:rFonts w:eastAsia="Times New Roman" w:cstheme="minorHAnsi"/>
          <w:i/>
          <w:sz w:val="24"/>
          <w:szCs w:val="24"/>
          <w:lang w:eastAsia="pl-PL"/>
        </w:rPr>
        <w:tab/>
      </w:r>
      <w:r w:rsidRPr="00623787">
        <w:rPr>
          <w:rFonts w:eastAsia="Times New Roman" w:cstheme="minorHAnsi"/>
          <w:i/>
          <w:sz w:val="24"/>
          <w:szCs w:val="24"/>
          <w:lang w:eastAsia="pl-PL"/>
        </w:rPr>
        <w:tab/>
      </w:r>
      <w:r w:rsidRPr="00623787">
        <w:rPr>
          <w:rFonts w:eastAsia="Times New Roman" w:cstheme="minorHAnsi"/>
          <w:i/>
          <w:sz w:val="24"/>
          <w:szCs w:val="24"/>
          <w:lang w:eastAsia="pl-PL"/>
        </w:rPr>
        <w:tab/>
      </w:r>
    </w:p>
    <w:sectPr w:rsidR="00AC5E91" w:rsidRPr="00623787" w:rsidSect="006F257A">
      <w:footerReference w:type="default" r:id="rId7"/>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93" w:rsidRDefault="008F7D93">
      <w:r>
        <w:separator/>
      </w:r>
    </w:p>
  </w:endnote>
  <w:endnote w:type="continuationSeparator" w:id="0">
    <w:p w:rsidR="008F7D93" w:rsidRDefault="008F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58922"/>
      <w:docPartObj>
        <w:docPartGallery w:val="Page Numbers (Bottom of Page)"/>
        <w:docPartUnique/>
      </w:docPartObj>
    </w:sdtPr>
    <w:sdtEndPr/>
    <w:sdtContent>
      <w:p w:rsidR="00574AEE" w:rsidRDefault="00177BB2">
        <w:pPr>
          <w:pStyle w:val="Stopka"/>
          <w:jc w:val="right"/>
        </w:pPr>
        <w:r>
          <w:fldChar w:fldCharType="begin"/>
        </w:r>
        <w:r>
          <w:instrText>PAGE   \* MERGEFORMAT</w:instrText>
        </w:r>
        <w:r>
          <w:fldChar w:fldCharType="separate"/>
        </w:r>
        <w:r w:rsidR="007D5EA6">
          <w:rPr>
            <w:noProof/>
          </w:rPr>
          <w:t>3</w:t>
        </w:r>
        <w:r>
          <w:fldChar w:fldCharType="end"/>
        </w:r>
      </w:p>
    </w:sdtContent>
  </w:sdt>
  <w:p w:rsidR="00574AEE" w:rsidRDefault="008F7D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93" w:rsidRDefault="008F7D93">
      <w:r>
        <w:separator/>
      </w:r>
    </w:p>
  </w:footnote>
  <w:footnote w:type="continuationSeparator" w:id="0">
    <w:p w:rsidR="008F7D93" w:rsidRDefault="008F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B2"/>
    <w:rsid w:val="00177BB2"/>
    <w:rsid w:val="00595381"/>
    <w:rsid w:val="00623787"/>
    <w:rsid w:val="007D5EA6"/>
    <w:rsid w:val="008F7D93"/>
    <w:rsid w:val="009143A8"/>
    <w:rsid w:val="00AC5E91"/>
    <w:rsid w:val="00BA0F52"/>
    <w:rsid w:val="00C62A12"/>
    <w:rsid w:val="00CE3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77BB2"/>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77BB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5381"/>
    <w:rPr>
      <w:rFonts w:ascii="Tahoma" w:hAnsi="Tahoma" w:cs="Tahoma"/>
      <w:sz w:val="16"/>
      <w:szCs w:val="16"/>
    </w:rPr>
  </w:style>
  <w:style w:type="character" w:customStyle="1" w:styleId="TekstdymkaZnak">
    <w:name w:val="Tekst dymka Znak"/>
    <w:basedOn w:val="Domylnaczcionkaakapitu"/>
    <w:link w:val="Tekstdymka"/>
    <w:uiPriority w:val="99"/>
    <w:semiHidden/>
    <w:rsid w:val="0059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77BB2"/>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77BB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5381"/>
    <w:rPr>
      <w:rFonts w:ascii="Tahoma" w:hAnsi="Tahoma" w:cs="Tahoma"/>
      <w:sz w:val="16"/>
      <w:szCs w:val="16"/>
    </w:rPr>
  </w:style>
  <w:style w:type="character" w:customStyle="1" w:styleId="TekstdymkaZnak">
    <w:name w:val="Tekst dymka Znak"/>
    <w:basedOn w:val="Domylnaczcionkaakapitu"/>
    <w:link w:val="Tekstdymka"/>
    <w:uiPriority w:val="99"/>
    <w:semiHidden/>
    <w:rsid w:val="0059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1121</Words>
  <Characters>6729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Patronacka</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PSM</cp:lastModifiedBy>
  <cp:revision>7</cp:revision>
  <cp:lastPrinted>2017-09-20T06:53:00Z</cp:lastPrinted>
  <dcterms:created xsi:type="dcterms:W3CDTF">2017-08-17T06:00:00Z</dcterms:created>
  <dcterms:modified xsi:type="dcterms:W3CDTF">2017-10-04T12:29:00Z</dcterms:modified>
</cp:coreProperties>
</file>